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134</w:t>
      </w:r>
    </w:p>
    <w:p>
      <w:r>
        <w:t>Bundesgericht (BGE), 1983-07-29, IT</w:t>
      </w:r>
    </w:p>
    <w:p>
      <w:r>
        <w:rPr>
          <w:b/>
        </w:rPr>
        <w:t xml:space="preserve">Quelle: </w:t>
      </w:r>
      <w:r>
        <w:t>https://mcp.opencaselaw.ch/entscheid/bge_109 V 134</w:t>
      </w:r>
    </w:p>
    <w:p>
      <w:r>
        <w:t>FR: ATF 109 V 134</w:t>
      </w:r>
    </w:p>
    <w:p>
      <w:r>
        <w:t>IT: DTF 109 V 134</w:t>
      </w:r>
    </w:p>
    <w:p>
      <w:pPr>
        <w:pStyle w:val="Heading2"/>
      </w:pPr>
      <w:r>
        <w:t>Regeste</w:t>
      </w:r>
    </w:p>
    <w:p>
      <w:r>
        <w:t>Regeste Art. 3 Abs. 1 lit. d und Abs. 3 lit. a ELG, Art. 13 Abs. 1 und 3 ELV. Rechtliche Tragweite einer gegenüber der Behörde zugunsten eines Familienmitgliedes abgegebenen Unterhaltsgarantie. Frage in casu offengelassen, ob und in welchem Umfange die garantierte Leistung bei der Ermittlung des massgebenden Einkommens anzurechnen ist. Eine solche Garantie steht unter dem Vorbehalt der "clausula rebus sic stantibus".</w:t>
      </w:r>
    </w:p>
    <w:p>
      <w:pPr>
        <w:pStyle w:val="Heading2"/>
      </w:pPr>
      <w:r>
        <w:t>Erwägungen</w:t>
      </w:r>
    </w:p>
    <w:p>
      <w:r>
        <w:rPr>
          <w:b/>
        </w:rPr>
        <w:t>E. 1</w:t>
      </w:r>
    </w:p>
    <w:p>
      <w:r>
        <w:t>L'art. 2 cpv. 1 LPC dispone che i beneficiari di una rendita dell'AVS domiciliati in Svizzera hanno diritto a prestazioni complementari se il loro reddito annuo determinante non raggiunge un determinato limite. Il reddito determinante è calcolato secondo le regole prescritte dagli art. 3 e 4 LPC. In particolare, secondo l'art. 3 cpv. 1 lett. d LPC, del reddito determinante fanno parte le prestazioni derivanti da contratto di vitalizio o da altra convenzione analoga. Non sono invece computate come reddito le prestazioni di parenti conformemente agli art. 328 segg. CC (art. 3 cpv. 3 lett. a LPC). Per l'art. 13 cpv. 1 OPC gli assicurati che beneficiano di un contratto di vitalizio che conferisce loro il diritto di essere completamente sostentati e curati non possono pretendere una prestazione complementare; sono riservati i casi ove è provato che il debitore del contratto di vitalizio non è in grado di fornire le prestazioni dovute o che il sostentamento accordato deve secondo le condizioni locali essere qualificato come particolarmente modesto. Queste prescrizioni sono - tra l'altro - valide anche per convenzioni analoghe ai contratti di vitalizio (art. 13 cpv. 3 OPC).</w:t>
      </w:r>
    </w:p>
    <w:p>
      <w:r>
        <w:rPr>
          <w:b/>
        </w:rPr>
        <w:t>E. 2</w:t>
      </w:r>
    </w:p>
    <w:p>
      <w:r>
        <w:t>In concreto è pacifico che Alfredo Ardizzi, nel 1966, si era impegnato a provvedere al mantenimento della madre al fine di consentirle di ottenere un permesso di dimora in Svizzera. La lite verte sul tema di sapere se le prestazioni richieste per il sostentamento dell'assicurata per le quali l'interessato si era impegnato debbano essere computate nel calcolo del reddito determinante ai fini dell'accertamento del diritto di Rosa Ardizzi a una prestazione complementare. Al riguardo deve preliminarmente essere esaminato quale valore possa essere assegnato alla dichiarazione rilasciata dal figlio BGE 109 V 134 S. 137 dell'intimata all'attenzione della Polizia degli stranieri nel 1966. In essa Alfredo Ardizzi affermava: "Consapevole che mia madre non eserciterà alcuna attività lucrativa, sarà mio impegno provvedere al suo sostentamento, garantendole una vita decorosa e adeguata alle mie possibilità finanziarie." Il Tribunale delle assicurazioni del Cantone Ticino, fondandosi sulla giurisprudenza di questa Corte pubblicata in RCC 1967 pag. 169, 1969 pag. 182 e 1974 pag. 281, ha affermato che per "convenzioni analoghe" ai sensi dell'art. 3 cpv. 1 lett. d LPC non si devono intendere soltanto gli accordi intervenuti, secondo il diritto civile, fra il debitore e il beneficiario della prestazione, bensì pure quegli impegni di mantenimento e di assistenza che una persona o una comunità si assumono o fanno valere di essersi assunti nei confronti del beneficiario. Orbene questa giurisprudenza è riferita a comunità religiose o di beneficenza. Voler dedurne - come fatto dai primi giudici - un'analogia con la garanzia di sostentamento di una persona sembra quantomeno opinabile. Nel caso del membro di una comunità religiosa, in particolare, si tratta di persona che nei confronti della stessa fruisce di un diritto derivato dalla cessione della dote, da considerare controprestazione per l'attività di un'intera vita. È dubbio pertanto che, sulla scorta della dichiarazione rilasciata dal figlio, la madre avrebbe potuto far valere diritti più ampi di quelli riconosciuti dagli art. 328 segg. CC. Il tema può tuttavia rimanere irrisolto. Infatti, se è vero che una garanzia di sostentamento è condizione opponibile all'ingresso in Svizzera di cittadino straniero non esercitante un'attività lucrativa e se è pure vero che con ciò si intende evitare che l'ente pubblico venga successivamente gravato di prestazioni assistenziali, deve pur essere notato che, una volta non ottemperata la condizione, la sanzione che pare normale è la revoca del permesso di dimora: ci si chiede infatti quali mezzi abbia l'amministrazione, se non eventualmente quelli del subingresso, in cause di assistenza tra parenti per conseguire il versamento. Ad ogni modo dev'essere condiviso il punto di vista dei primi giudici che esattamente hanno ricordato che se il permesso di dimora è suscettibile di condizioni, altrettanto non lo è il permesso di domicilio, il quale è di durata illimitata e non può essere condizionale (v. art. 5 e 6 LDDS). A partire dal momento dell'assegnazione del permesso di domicilio lo straniero in Svizzera gode, dal profilo delle assicurazioni sociali, di tutti i diritti riconosciutigli dalle leggi senza che gli siano opponibili BGE 109 V 134 S. 138 condizioni valide solo nel periodo della dimora. Quindi, se anche si volesse, il che pare discutibile, riconoscere una determinata efficacia alla garanzia di sostentamento, è lecito chiedersi se essa non sia da ritenere decaduta con l'attribuzione del permesso di domicilio. Comunque una tale garanzia deve valere "rebus sic stantibus", ai sensi del resto dell'art. 13 OPC: non si vede in effetti come essa sia opponibile a chi per una sostanziale modifica delle condizioni finanziarie, come nella fattispecie a causa di matrimonio, più non sia in grado di far fronte all'impegno. Inutile è quindi indagare nella presente procedura se alla garanzia di sostentamento in esame sia da attribuire valore analogo a quello di un contratto di vitalizio, dal momento che essa garanzia più non può essere fatta valere nei confronti del figlio dell'opponente. Dato quanto precede, a ragione i giudici cantonali non hanno ritenuto ai fini del computo del reddito determinante gli importi necessari al mantenimento dell'interessata per i quali Alfredo Ardizzi si era fatto garante. In tali circostanze non deve essere esaminata la questione del calcolo dell'obbligo di sostentamento operato dalla Cassa di compensazione e dall'Ufficio federale delle assicurazioni sociali. Giova comunque rilevare che detto calcolo, il quale fissa l'obbligo di sostentamento ai limiti di esistenza da parte dell'obbligato, appare perlomeno opinabile. La Corte non ha altrimenti motivo di scostarsi dal calcolo della prestazione complementare operato dai primi giudici per cui la pronuncia querelata non può che essere confermata.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